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76CC" w14:textId="3FBD77CA" w:rsidR="000124AC" w:rsidRPr="00AD2541" w:rsidRDefault="00AF540D" w:rsidP="00AF54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D2541">
        <w:rPr>
          <w:rFonts w:ascii="Arial" w:hAnsi="Arial" w:cs="Arial"/>
          <w:b/>
          <w:bCs/>
          <w:sz w:val="28"/>
          <w:szCs w:val="28"/>
        </w:rPr>
        <w:t>CONSEIL MUNICIPAL DU 26.02.2026</w:t>
      </w:r>
    </w:p>
    <w:p w14:paraId="39429072" w14:textId="77777777" w:rsidR="00AF540D" w:rsidRDefault="00AF540D" w:rsidP="00AF540D">
      <w:pPr>
        <w:jc w:val="center"/>
        <w:rPr>
          <w:b/>
          <w:bCs/>
        </w:rPr>
      </w:pPr>
    </w:p>
    <w:p w14:paraId="7150E348" w14:textId="77777777" w:rsidR="00AF540D" w:rsidRDefault="00AF540D" w:rsidP="00AF540D">
      <w:pPr>
        <w:jc w:val="center"/>
        <w:rPr>
          <w:b/>
          <w:bCs/>
        </w:rPr>
      </w:pPr>
    </w:p>
    <w:p w14:paraId="1F5382BD" w14:textId="4CC8951B" w:rsidR="005452F5" w:rsidRDefault="00AF540D" w:rsidP="005452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 xml:space="preserve">1 </w:t>
      </w:r>
      <w:r w:rsidR="005452F5">
        <w:rPr>
          <w:rFonts w:ascii="Arial" w:hAnsi="Arial" w:cs="Arial"/>
          <w:b/>
          <w:bCs/>
          <w:sz w:val="22"/>
          <w:szCs w:val="22"/>
        </w:rPr>
        <w:t>SDE 22 – avenant n°2 à la convention de groupement d’achat d’énergie</w:t>
      </w:r>
    </w:p>
    <w:p w14:paraId="61CB4E85" w14:textId="77777777" w:rsidR="005452F5" w:rsidRDefault="005452F5" w:rsidP="005452F5">
      <w:pPr>
        <w:jc w:val="both"/>
        <w:rPr>
          <w:rFonts w:ascii="Arial" w:hAnsi="Arial" w:cs="Arial"/>
          <w:sz w:val="22"/>
          <w:szCs w:val="22"/>
        </w:rPr>
      </w:pPr>
    </w:p>
    <w:p w14:paraId="6AB02A5C" w14:textId="7457817D" w:rsidR="005452F5" w:rsidRPr="005452F5" w:rsidRDefault="005452F5" w:rsidP="005452F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bidi="fr-FR"/>
        </w:rPr>
        <w:t xml:space="preserve">Madame Le Maire A fait part aux membres du conseil municipal que </w:t>
      </w:r>
      <w:r>
        <w:rPr>
          <w:rFonts w:ascii="Arial" w:hAnsi="Arial" w:cs="Arial"/>
          <w:color w:val="000000"/>
          <w:sz w:val="22"/>
          <w:szCs w:val="22"/>
        </w:rPr>
        <w:t>lors de la séance du 19 décembre 2025, le comité syndical du SDE 22 a validé un projet d'</w:t>
      </w:r>
      <w:r>
        <w:rPr>
          <w:rStyle w:val="lev"/>
          <w:rFonts w:ascii="Arial" w:hAnsi="Arial" w:cs="Arial"/>
          <w:color w:val="000000"/>
          <w:sz w:val="22"/>
          <w:szCs w:val="22"/>
        </w:rPr>
        <w:t>avenant à la convention de groupement d'achat d'énergie</w:t>
      </w:r>
      <w:r>
        <w:rPr>
          <w:rFonts w:ascii="Arial" w:hAnsi="Arial" w:cs="Arial"/>
          <w:color w:val="000000"/>
          <w:sz w:val="22"/>
          <w:szCs w:val="22"/>
        </w:rPr>
        <w:t xml:space="preserve"> portant sur des modifications mineures et des clarifications suivantes :</w:t>
      </w:r>
    </w:p>
    <w:p w14:paraId="0355FB38" w14:textId="6CD45935" w:rsidR="005452F5" w:rsidRDefault="005452F5" w:rsidP="005452F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  intégration d’une clause sur le Règlement Général à la Protection des Données (RGPD),</w:t>
      </w:r>
      <w:r>
        <w:rPr>
          <w:rFonts w:ascii="Arial" w:hAnsi="Arial" w:cs="Arial"/>
          <w:color w:val="000000"/>
          <w:sz w:val="22"/>
          <w:szCs w:val="22"/>
        </w:rPr>
        <w:br/>
        <w:t>-  précision sur la définition d’un membre désormais désigné par son n° de SIREN,</w:t>
      </w:r>
      <w:r>
        <w:rPr>
          <w:rFonts w:ascii="Arial" w:hAnsi="Arial" w:cs="Arial"/>
          <w:color w:val="000000"/>
          <w:sz w:val="22"/>
          <w:szCs w:val="22"/>
        </w:rPr>
        <w:br/>
        <w:t>-   précision sur la date d’application des frais d’adhésion au groupement qui sont dus dès la phase de préparation du marché (même si la date de fourniture est prévue ultérieurement),</w:t>
      </w:r>
      <w:r>
        <w:rPr>
          <w:rFonts w:ascii="Arial" w:hAnsi="Arial" w:cs="Arial"/>
          <w:color w:val="000000"/>
          <w:sz w:val="22"/>
          <w:szCs w:val="22"/>
        </w:rPr>
        <w:br/>
        <w:t>-   suppression des références au logiciel SMAE (système de management des achats d’énergie), ce module étant désormais intégré au logiciel SME.</w:t>
      </w:r>
    </w:p>
    <w:p w14:paraId="1493471F" w14:textId="77777777" w:rsidR="005452F5" w:rsidRDefault="005452F5" w:rsidP="005452F5">
      <w:pPr>
        <w:rPr>
          <w:rFonts w:ascii="Arial" w:hAnsi="Arial" w:cs="Arial"/>
          <w:color w:val="000000"/>
          <w:sz w:val="22"/>
          <w:szCs w:val="22"/>
        </w:rPr>
      </w:pPr>
    </w:p>
    <w:p w14:paraId="711C3771" w14:textId="6483BE6E" w:rsidR="005452F5" w:rsidRDefault="005452F5" w:rsidP="005452F5">
      <w:pPr>
        <w:pBdr>
          <w:bottom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Après en avoir délibéré, les membres du conseil municipal ont décidé </w:t>
      </w:r>
      <w:r w:rsidR="00BF3F12">
        <w:rPr>
          <w:rFonts w:ascii="Arial" w:hAnsi="Arial" w:cs="Arial"/>
          <w:color w:val="000000"/>
          <w:sz w:val="22"/>
          <w:szCs w:val="22"/>
        </w:rPr>
        <w:t xml:space="preserve">à l’unanimité </w:t>
      </w:r>
      <w:r>
        <w:rPr>
          <w:rFonts w:ascii="Arial" w:hAnsi="Arial" w:cs="Arial"/>
          <w:color w:val="000000"/>
          <w:sz w:val="22"/>
          <w:szCs w:val="22"/>
        </w:rPr>
        <w:t>de valider cet avenant.</w:t>
      </w:r>
    </w:p>
    <w:p w14:paraId="358DEEB0" w14:textId="77777777" w:rsidR="00FF3A2C" w:rsidRDefault="00FF3A2C" w:rsidP="005452F5">
      <w:pPr>
        <w:pBdr>
          <w:bottom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3FB16450" w14:textId="77777777" w:rsidR="00FF3A2C" w:rsidRDefault="00FF3A2C" w:rsidP="005452F5">
      <w:pPr>
        <w:rPr>
          <w:rFonts w:ascii="Arial" w:hAnsi="Arial" w:cs="Arial"/>
          <w:color w:val="000000"/>
          <w:sz w:val="22"/>
          <w:szCs w:val="22"/>
        </w:rPr>
      </w:pPr>
    </w:p>
    <w:p w14:paraId="1B3A6CBF" w14:textId="7F0220A7" w:rsidR="00FF3A2C" w:rsidRPr="00FF3A2C" w:rsidRDefault="005452F5" w:rsidP="00FF3A2C">
      <w:pPr>
        <w:pStyle w:val="Corpsdetexte"/>
        <w:spacing w:before="9"/>
        <w:rPr>
          <w:rFonts w:eastAsia="Calibri"/>
          <w:b/>
          <w:bCs/>
          <w:szCs w:val="22"/>
          <w:lang w:bidi="fr-FR"/>
        </w:rPr>
      </w:pPr>
      <w:r w:rsidRPr="00FF3A2C">
        <w:rPr>
          <w:b/>
          <w:bCs/>
          <w:color w:val="000000"/>
          <w:szCs w:val="22"/>
        </w:rPr>
        <w:t xml:space="preserve">2 </w:t>
      </w:r>
      <w:r w:rsidR="00FF3A2C" w:rsidRPr="00FF3A2C">
        <w:rPr>
          <w:rFonts w:eastAsia="Calibri"/>
          <w:b/>
          <w:bCs/>
          <w:szCs w:val="22"/>
          <w:lang w:bidi="fr-FR"/>
        </w:rPr>
        <w:t>Rythmes scolaires : prolongation de la dérogation à l’organisation de la semaine scolaire de 4.5 jours</w:t>
      </w:r>
    </w:p>
    <w:p w14:paraId="2B6A9A8E" w14:textId="77777777" w:rsidR="00FF3A2C" w:rsidRPr="00FF3A2C" w:rsidRDefault="00FF3A2C" w:rsidP="00FF3A2C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bCs/>
          <w:sz w:val="22"/>
          <w:szCs w:val="22"/>
          <w:lang w:bidi="fr-FR"/>
        </w:rPr>
      </w:pPr>
    </w:p>
    <w:p w14:paraId="32C36857" w14:textId="7A7D17A8" w:rsidR="00FF3A2C" w:rsidRPr="00FF3A2C" w:rsidRDefault="00FF3A2C" w:rsidP="00FF3A2C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  <w:r w:rsidRPr="00FF3A2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u</w:t>
      </w:r>
      <w:r w:rsidRPr="00FF3A2C">
        <w:rPr>
          <w:rFonts w:ascii="Arial" w:hAnsi="Arial" w:cs="Arial"/>
          <w:sz w:val="22"/>
          <w:szCs w:val="22"/>
        </w:rPr>
        <w:t xml:space="preserve"> le Code de l’Éducation et ses articles D521-10 à 13 ;</w:t>
      </w:r>
    </w:p>
    <w:p w14:paraId="7DF119AF" w14:textId="2C016E89" w:rsidR="00FF3A2C" w:rsidRPr="00FF3A2C" w:rsidRDefault="00FF3A2C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F3A2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u</w:t>
      </w:r>
      <w:r w:rsidRPr="00FF3A2C">
        <w:rPr>
          <w:rFonts w:ascii="Arial" w:hAnsi="Arial" w:cs="Arial"/>
          <w:sz w:val="22"/>
          <w:szCs w:val="22"/>
        </w:rPr>
        <w:t xml:space="preserve"> le Décret n°2023-77 du 24 janvier 2013 relatif à l’organisation du temps scolaire dans les écoles maternelles et élémentaires ;</w:t>
      </w:r>
    </w:p>
    <w:p w14:paraId="52C4A412" w14:textId="4DFA5AE8" w:rsidR="00FF3A2C" w:rsidRPr="00FF3A2C" w:rsidRDefault="00FF3A2C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F3A2C">
        <w:rPr>
          <w:rFonts w:ascii="Arial" w:hAnsi="Arial" w:cs="Arial"/>
          <w:sz w:val="22"/>
          <w:szCs w:val="22"/>
        </w:rPr>
        <w:t>Vu le Décret n°2017-549 du 14 avril 2017 modifiant le décret n°2016-1049 du 1</w:t>
      </w:r>
      <w:r w:rsidRPr="00FF3A2C">
        <w:rPr>
          <w:rFonts w:ascii="Arial" w:hAnsi="Arial" w:cs="Arial"/>
          <w:sz w:val="22"/>
          <w:szCs w:val="22"/>
          <w:vertAlign w:val="superscript"/>
        </w:rPr>
        <w:t>er</w:t>
      </w:r>
      <w:r w:rsidRPr="00FF3A2C">
        <w:rPr>
          <w:rFonts w:ascii="Arial" w:hAnsi="Arial" w:cs="Arial"/>
          <w:sz w:val="22"/>
          <w:szCs w:val="22"/>
        </w:rPr>
        <w:t> août 2016 autorisant les dérogations à l’organisation de la semaine scolaire dans les écoles maternelles et élémentaires ;</w:t>
      </w:r>
    </w:p>
    <w:p w14:paraId="4796F1A8" w14:textId="187E47A8" w:rsidR="00FF3A2C" w:rsidRPr="00FF3A2C" w:rsidRDefault="00FF3A2C" w:rsidP="00FF3A2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FF3A2C">
        <w:rPr>
          <w:rFonts w:ascii="Arial" w:hAnsi="Arial" w:cs="Arial"/>
          <w:sz w:val="22"/>
          <w:szCs w:val="22"/>
        </w:rPr>
        <w:t>Vu le Décret n°2017-1108 du 27 juin 2017 relatif aux dérogations à l’organisation de la semaine scolaire des écoles maternelles et élémentaires publiques ;</w:t>
      </w:r>
    </w:p>
    <w:p w14:paraId="04C18929" w14:textId="77777777" w:rsidR="00FF3A2C" w:rsidRPr="00FF3A2C" w:rsidRDefault="00FF3A2C" w:rsidP="00FF3A2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2"/>
          <w:szCs w:val="22"/>
          <w:lang w:bidi="fr-FR"/>
        </w:rPr>
      </w:pPr>
      <w:r w:rsidRPr="00FF3A2C">
        <w:rPr>
          <w:rFonts w:ascii="Arial" w:eastAsia="Calibri" w:hAnsi="Arial" w:cs="Arial"/>
          <w:sz w:val="22"/>
          <w:szCs w:val="22"/>
          <w:lang w:bidi="fr-FR"/>
        </w:rPr>
        <w:t>Vu la délibération du conseil municipal du 27/02/2025 relative prolongation de la dérogation à l’organisation de la semaine scolaire de 4.5 jours.</w:t>
      </w:r>
    </w:p>
    <w:p w14:paraId="0FB7962E" w14:textId="77777777" w:rsidR="00FF3A2C" w:rsidRPr="00FF3A2C" w:rsidRDefault="00FF3A2C" w:rsidP="00FF3A2C">
      <w:pPr>
        <w:shd w:val="clear" w:color="auto" w:fill="FFFFFF"/>
        <w:jc w:val="both"/>
        <w:rPr>
          <w:rFonts w:ascii="Arial" w:eastAsia="Times New Roman" w:hAnsi="Arial" w:cs="Arial"/>
          <w:sz w:val="22"/>
          <w:szCs w:val="22"/>
        </w:rPr>
      </w:pPr>
    </w:p>
    <w:p w14:paraId="1109239A" w14:textId="77777777" w:rsidR="00FF3A2C" w:rsidRPr="00FF3A2C" w:rsidRDefault="00FF3A2C" w:rsidP="00FF3A2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2"/>
          <w:szCs w:val="22"/>
          <w:lang w:bidi="fr-FR"/>
        </w:rPr>
      </w:pPr>
    </w:p>
    <w:p w14:paraId="26A789F6" w14:textId="77777777" w:rsidR="00FF3A2C" w:rsidRPr="00FF3A2C" w:rsidRDefault="00FF3A2C" w:rsidP="00FF3A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4FFCC5" w14:textId="21A68127" w:rsidR="00FF3A2C" w:rsidRDefault="00FF3A2C" w:rsidP="00FF3A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F3A2C">
        <w:rPr>
          <w:rFonts w:ascii="Arial" w:hAnsi="Arial" w:cs="Arial"/>
          <w:color w:val="000000"/>
          <w:sz w:val="22"/>
          <w:szCs w:val="22"/>
        </w:rPr>
        <w:lastRenderedPageBreak/>
        <w:t>Après en avoir délibéré, les membres du conseil municipal,</w:t>
      </w:r>
      <w:r w:rsidR="000145C9">
        <w:rPr>
          <w:rFonts w:ascii="Arial" w:hAnsi="Arial" w:cs="Arial"/>
          <w:color w:val="000000"/>
          <w:sz w:val="22"/>
          <w:szCs w:val="22"/>
        </w:rPr>
        <w:t xml:space="preserve"> à l’unanimité,</w:t>
      </w:r>
      <w:r w:rsidR="000145C9" w:rsidRPr="00FF3A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F3A2C">
        <w:rPr>
          <w:rFonts w:ascii="Arial" w:hAnsi="Arial" w:cs="Arial"/>
          <w:color w:val="000000"/>
          <w:sz w:val="22"/>
          <w:szCs w:val="22"/>
        </w:rPr>
        <w:t xml:space="preserve">se sont prononcés pour un maintien de la semaine scolaire de 4 jours et ont </w:t>
      </w:r>
      <w:r w:rsidRPr="00FF3A2C">
        <w:rPr>
          <w:rFonts w:ascii="Arial" w:hAnsi="Arial" w:cs="Arial"/>
          <w:sz w:val="22"/>
          <w:szCs w:val="22"/>
        </w:rPr>
        <w:t>sollicité un maintien de la dérogation à l’organisation de la semaine scolaire à compter de la rentrée scolaire 2026 pour 3 années auprès du ministère de l’Education.</w:t>
      </w:r>
    </w:p>
    <w:p w14:paraId="3F7AA336" w14:textId="3DA0FBE4" w:rsidR="00FF3A2C" w:rsidRDefault="00FF3A2C" w:rsidP="00FF3A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F3A2C">
        <w:rPr>
          <w:rFonts w:ascii="Arial" w:hAnsi="Arial" w:cs="Arial"/>
          <w:color w:val="000000"/>
          <w:sz w:val="22"/>
          <w:szCs w:val="22"/>
        </w:rPr>
        <w:t>Le temps d’école se déroulera les lundi, mardi jeudi, vendredi de 9h00 à 12h00 et de 13h30 à 16h30 pour l’école maternelle de Trémel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2A46BC9" w14:textId="77777777" w:rsidR="00FF3A2C" w:rsidRDefault="00FF3A2C" w:rsidP="00FF3A2C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434D12F" w14:textId="77777777" w:rsidR="00FF3A2C" w:rsidRDefault="00FF3A2C" w:rsidP="00FF3A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FFD3BB" w14:textId="424BA2CE" w:rsidR="008876AB" w:rsidRDefault="00C04A20" w:rsidP="008876AB">
      <w:pPr>
        <w:rPr>
          <w:rFonts w:ascii="Arial" w:hAnsi="Arial" w:cs="Arial"/>
        </w:rPr>
      </w:pPr>
      <w:r w:rsidRPr="008876AB">
        <w:rPr>
          <w:rFonts w:ascii="Arial" w:hAnsi="Arial" w:cs="Arial"/>
          <w:b/>
          <w:bCs/>
          <w:color w:val="000000"/>
          <w:sz w:val="22"/>
          <w:szCs w:val="22"/>
        </w:rPr>
        <w:t xml:space="preserve">3 </w:t>
      </w:r>
      <w:r w:rsidR="008876AB">
        <w:rPr>
          <w:rFonts w:ascii="Arial" w:hAnsi="Arial" w:cs="Arial"/>
          <w:b/>
          <w:bCs/>
          <w:sz w:val="22"/>
          <w:szCs w:val="22"/>
        </w:rPr>
        <w:t>Création d’un poste non permanent pour un accroissement temporaire d’activité (C) – renfort garderie périscolaire</w:t>
      </w:r>
    </w:p>
    <w:p w14:paraId="306A8979" w14:textId="77777777" w:rsidR="008876AB" w:rsidRDefault="008876AB" w:rsidP="008876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(articles L. 332-23-1° et L. 332-23-2° du Code général de la fonction publique)</w:t>
      </w:r>
    </w:p>
    <w:p w14:paraId="0228A6F3" w14:textId="77777777" w:rsidR="008876AB" w:rsidRDefault="008876AB" w:rsidP="008876AB">
      <w:pPr>
        <w:pStyle w:val="Ontvotladelib"/>
        <w:spacing w:after="120"/>
        <w:rPr>
          <w:sz w:val="22"/>
          <w:szCs w:val="22"/>
        </w:rPr>
      </w:pPr>
    </w:p>
    <w:p w14:paraId="6C997065" w14:textId="58EC2BED" w:rsidR="008876AB" w:rsidRDefault="008876AB" w:rsidP="008876AB">
      <w:pPr>
        <w:pStyle w:val="LeMairerappellepropose"/>
        <w:numPr>
          <w:ilvl w:val="0"/>
          <w:numId w:val="2"/>
        </w:numPr>
        <w:spacing w:before="0"/>
        <w:rPr>
          <w:sz w:val="22"/>
          <w:szCs w:val="22"/>
        </w:rPr>
      </w:pPr>
      <w:r>
        <w:rPr>
          <w:sz w:val="22"/>
          <w:szCs w:val="22"/>
        </w:rPr>
        <w:t>Le Maire a informé l’assemblée délibérante :</w:t>
      </w:r>
    </w:p>
    <w:p w14:paraId="5579D4C5" w14:textId="77777777" w:rsidR="008876AB" w:rsidRDefault="008876AB" w:rsidP="008876AB">
      <w:pPr>
        <w:pStyle w:val="VuConsidrant"/>
        <w:spacing w:after="120"/>
        <w:rPr>
          <w:rFonts w:eastAsia="Century Gothic"/>
          <w:sz w:val="22"/>
          <w:szCs w:val="22"/>
        </w:rPr>
      </w:pPr>
      <w:r>
        <w:rPr>
          <w:sz w:val="22"/>
          <w:szCs w:val="22"/>
        </w:rPr>
        <w:t>Aux termes du Code général des collectivités territoriales et notamment des articles L.313-1, L.542-1 et suivants</w:t>
      </w:r>
      <w:r>
        <w:rPr>
          <w:rFonts w:eastAsia="Century Gothic"/>
          <w:sz w:val="22"/>
          <w:szCs w:val="22"/>
        </w:rPr>
        <w:t>, les emplois de chaque collectivité ou établissement sont créés par l'organe délibérant de la collectivité ou de l'établissement. Ainsi, il appartient à l'assemblée délibérante de déterminer l'effectif des emplois à temps complet et temps non complet nécessaire au fonctionnement des services.</w:t>
      </w:r>
    </w:p>
    <w:p w14:paraId="3DE460B5" w14:textId="77777777" w:rsidR="008876AB" w:rsidRDefault="008876AB" w:rsidP="008876AB">
      <w:pPr>
        <w:pStyle w:val="VuConsidrant"/>
        <w:spacing w:after="120"/>
        <w:rPr>
          <w:rFonts w:eastAsia="Century Gothic"/>
          <w:sz w:val="22"/>
          <w:szCs w:val="22"/>
        </w:rPr>
      </w:pPr>
    </w:p>
    <w:p w14:paraId="7D5EE31B" w14:textId="47931285" w:rsidR="008876AB" w:rsidRDefault="008876AB" w:rsidP="008876AB">
      <w:pPr>
        <w:pStyle w:val="VuConsidrant"/>
        <w:numPr>
          <w:ilvl w:val="0"/>
          <w:numId w:val="3"/>
        </w:numPr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Le Maire a proposé à l’assemblée délibérante :</w:t>
      </w:r>
    </w:p>
    <w:p w14:paraId="3C3B7D77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Vu le Code général de la fonction publique, notamment les articles L. 332-23-1° et L. 332-23-2°,</w:t>
      </w:r>
    </w:p>
    <w:p w14:paraId="51492568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Vu la loi n° 84-53 du 26 janvier 1984 modifiée portant dispositions statutaires relatives à la fonction publique territoriale</w:t>
      </w:r>
    </w:p>
    <w:p w14:paraId="7E2CE530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Vu le décret n°88-145 </w:t>
      </w:r>
      <w:r>
        <w:rPr>
          <w:rStyle w:val="lev"/>
          <w:rFonts w:eastAsia="Tahoma"/>
          <w:sz w:val="22"/>
          <w:szCs w:val="22"/>
        </w:rPr>
        <w:t>relatif aux agents contractuels de la fonction publique territoriale,</w:t>
      </w:r>
    </w:p>
    <w:p w14:paraId="1B615D8C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Considérant la nécessité de créer 1 emploi non permanent compte tenu d’un accroissement temporaire d’activité pour la période allant du 02/03/2026 au 10/04/2026 au service garderie périscolaire.</w:t>
      </w:r>
    </w:p>
    <w:p w14:paraId="3CC8D2F2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</w:p>
    <w:p w14:paraId="7F5164E7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En conséquence, il est autorisé le recrutement d'un agent contractuel de droit public pour faire face temporairement à des besoins liés : </w:t>
      </w:r>
    </w:p>
    <w:p w14:paraId="7098F929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</w:p>
    <w:p w14:paraId="379B94DA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</w:p>
    <w:p w14:paraId="66AA4BE1" w14:textId="77777777" w:rsidR="008876AB" w:rsidRDefault="008876AB" w:rsidP="008876AB">
      <w:pPr>
        <w:pStyle w:val="VuConsidrant"/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à un accroissement temporaire d'activité, dans les conditions fixées à l'article L. 332-23-1° du Code général de la fonction publique, </w:t>
      </w:r>
      <w:r>
        <w:rPr>
          <w:rFonts w:eastAsia="Century Gothic"/>
          <w:sz w:val="22"/>
          <w:szCs w:val="22"/>
        </w:rPr>
        <w:t xml:space="preserve">pour une durée maximale de douze mois, compte tenu, le cas échéant, du renouvellement du contrat, pendant une même période de dix-huit mois consécutifs </w:t>
      </w:r>
    </w:p>
    <w:p w14:paraId="2E2DEB07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</w:p>
    <w:p w14:paraId="329E41C9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</w:p>
    <w:p w14:paraId="7C4E987A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L'agent devra justifier d'une expérience professionnelle en milieu scolaire.</w:t>
      </w:r>
    </w:p>
    <w:p w14:paraId="6E3C8611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L’emploi sera classé dans la catégorie hiérarchique C adjoint d’animation (C1)</w:t>
      </w:r>
    </w:p>
    <w:p w14:paraId="22F01CDC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La DHS de l’agent est fixée à 6.09 heures.</w:t>
      </w:r>
    </w:p>
    <w:p w14:paraId="708FDFF0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La rémunération sera déterminée selon un indice de rémunération maximum de : IB 432 (IM 387)</w:t>
      </w:r>
    </w:p>
    <w:p w14:paraId="5A8EE6FB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  <w:r>
        <w:rPr>
          <w:sz w:val="22"/>
          <w:szCs w:val="22"/>
        </w:rPr>
        <w:t>Elle prendra en compte, notamment, les fonctions occupées, la qualification requise pour leur exercice, la qualification détenue par l'agent ainsi que son expérience.</w:t>
      </w:r>
    </w:p>
    <w:p w14:paraId="3740217F" w14:textId="77777777" w:rsidR="008876AB" w:rsidRDefault="008876AB" w:rsidP="008876AB">
      <w:pPr>
        <w:pStyle w:val="VuConsidrant"/>
        <w:spacing w:after="0"/>
        <w:rPr>
          <w:sz w:val="22"/>
          <w:szCs w:val="22"/>
        </w:rPr>
      </w:pPr>
    </w:p>
    <w:p w14:paraId="3251D7B5" w14:textId="77777777" w:rsidR="008876AB" w:rsidRDefault="008876AB" w:rsidP="008876AB">
      <w:pPr>
        <w:pStyle w:val="VuConsidrant"/>
        <w:spacing w:after="120"/>
        <w:rPr>
          <w:i/>
          <w:iCs/>
          <w:sz w:val="22"/>
          <w:szCs w:val="22"/>
        </w:rPr>
      </w:pPr>
    </w:p>
    <w:p w14:paraId="08CD1B0A" w14:textId="07876BBB" w:rsidR="008876AB" w:rsidRDefault="008876AB" w:rsidP="008876AB">
      <w:pPr>
        <w:pStyle w:val="VuConsidrant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Après en avoir délibéré, l'assemblée, à l’unanimité, a décidé : </w:t>
      </w:r>
    </w:p>
    <w:p w14:paraId="3F9311C5" w14:textId="77777777" w:rsidR="008876AB" w:rsidRDefault="008876AB" w:rsidP="008876AB">
      <w:pPr>
        <w:pStyle w:val="VuConsidrant"/>
        <w:spacing w:after="120"/>
        <w:rPr>
          <w:sz w:val="22"/>
          <w:szCs w:val="22"/>
        </w:rPr>
      </w:pPr>
    </w:p>
    <w:p w14:paraId="081D82D1" w14:textId="77777777" w:rsidR="008876AB" w:rsidRDefault="008876AB" w:rsidP="008876AB">
      <w:pPr>
        <w:pStyle w:val="VuConsidrant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d’adopter la proposition du Maire </w:t>
      </w:r>
    </w:p>
    <w:p w14:paraId="6F305401" w14:textId="77777777" w:rsidR="008876AB" w:rsidRDefault="008876AB" w:rsidP="008876AB">
      <w:pPr>
        <w:pStyle w:val="VuConsidrant"/>
        <w:numPr>
          <w:ilvl w:val="0"/>
          <w:numId w:val="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d’inscrire au budget les crédits correspondants</w:t>
      </w:r>
    </w:p>
    <w:p w14:paraId="2C13A087" w14:textId="77777777" w:rsidR="008876AB" w:rsidRDefault="008876AB" w:rsidP="008876AB">
      <w:pPr>
        <w:pStyle w:val="VuConsidrant"/>
        <w:numPr>
          <w:ilvl w:val="0"/>
          <w:numId w:val="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que les dispositions de la présente délibération prendront effet au 02/03/2026</w:t>
      </w:r>
    </w:p>
    <w:p w14:paraId="09600010" w14:textId="77777777" w:rsidR="008876AB" w:rsidRDefault="008876AB" w:rsidP="008876AB">
      <w:pPr>
        <w:pStyle w:val="VuConsidrant"/>
        <w:spacing w:after="120"/>
        <w:ind w:left="720"/>
        <w:rPr>
          <w:sz w:val="22"/>
          <w:szCs w:val="22"/>
        </w:rPr>
      </w:pPr>
    </w:p>
    <w:p w14:paraId="08021FC2" w14:textId="14DEA9D8" w:rsidR="008876AB" w:rsidRDefault="008876AB" w:rsidP="008876AB">
      <w:pPr>
        <w:pStyle w:val="VuConsidrant"/>
        <w:spacing w:after="120"/>
        <w:rPr>
          <w:rFonts w:eastAsia="Century Gothic"/>
          <w:sz w:val="22"/>
          <w:szCs w:val="22"/>
        </w:rPr>
      </w:pPr>
      <w:r>
        <w:rPr>
          <w:sz w:val="22"/>
          <w:szCs w:val="22"/>
        </w:rPr>
        <w:t xml:space="preserve">et informe que la présente </w:t>
      </w:r>
      <w:r>
        <w:rPr>
          <w:rFonts w:eastAsia="Century Gothic"/>
          <w:sz w:val="22"/>
          <w:szCs w:val="22"/>
        </w:rPr>
        <w:t>délibération peut faire l'objet d'un recours pour excès de pouvoir devant le tribunal administratif de Rennes dans un délai de deux mois à compter de sa publication et, le cas échéant, de sa réception par le représentant de l'État</w:t>
      </w:r>
    </w:p>
    <w:p w14:paraId="6853ECF1" w14:textId="77777777" w:rsidR="008876AB" w:rsidRDefault="008876AB" w:rsidP="008876AB">
      <w:pPr>
        <w:pStyle w:val="VuConsidrant"/>
        <w:pBdr>
          <w:bottom w:val="single" w:sz="6" w:space="1" w:color="auto"/>
        </w:pBdr>
        <w:spacing w:after="120"/>
        <w:rPr>
          <w:rFonts w:eastAsia="Century Gothic"/>
          <w:sz w:val="22"/>
          <w:szCs w:val="22"/>
        </w:rPr>
      </w:pPr>
    </w:p>
    <w:p w14:paraId="50C046A5" w14:textId="77777777" w:rsidR="008876AB" w:rsidRDefault="008876AB" w:rsidP="008876AB">
      <w:pPr>
        <w:pStyle w:val="VuConsidrant"/>
        <w:spacing w:after="120"/>
        <w:rPr>
          <w:sz w:val="22"/>
          <w:szCs w:val="22"/>
        </w:rPr>
      </w:pPr>
    </w:p>
    <w:p w14:paraId="5488F83E" w14:textId="77777777" w:rsidR="008876AB" w:rsidRDefault="008876AB" w:rsidP="008876AB">
      <w:pPr>
        <w:pStyle w:val="VuConsidrant"/>
        <w:spacing w:after="120"/>
        <w:rPr>
          <w:sz w:val="22"/>
          <w:szCs w:val="22"/>
        </w:rPr>
      </w:pPr>
    </w:p>
    <w:p w14:paraId="1A978E47" w14:textId="25A84727" w:rsidR="00FF3A2C" w:rsidRPr="00FF3A2C" w:rsidRDefault="00FF3A2C" w:rsidP="00FF3A2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5A3415" w14:textId="77777777" w:rsidR="00FF3A2C" w:rsidRPr="00FF3A2C" w:rsidRDefault="00FF3A2C" w:rsidP="00FF3A2C">
      <w:pPr>
        <w:autoSpaceDE w:val="0"/>
        <w:autoSpaceDN w:val="0"/>
        <w:adjustRightInd w:val="0"/>
        <w:ind w:lef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8CC7D1" w14:textId="77777777" w:rsidR="00FF3A2C" w:rsidRPr="00FF3A2C" w:rsidRDefault="00FF3A2C" w:rsidP="00FF3A2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2"/>
          <w:szCs w:val="22"/>
          <w:lang w:eastAsia="fr-FR" w:bidi="fr-FR"/>
        </w:rPr>
      </w:pPr>
    </w:p>
    <w:p w14:paraId="79A50280" w14:textId="2BDA93FD" w:rsidR="005452F5" w:rsidRDefault="005452F5" w:rsidP="005452F5">
      <w:pPr>
        <w:rPr>
          <w:rFonts w:ascii="Arial" w:hAnsi="Arial" w:cs="Arial"/>
          <w:color w:val="000000"/>
          <w:sz w:val="22"/>
          <w:szCs w:val="22"/>
        </w:rPr>
      </w:pPr>
    </w:p>
    <w:p w14:paraId="051C9778" w14:textId="6287D951" w:rsidR="00AF540D" w:rsidRPr="00AF540D" w:rsidRDefault="00AF540D" w:rsidP="005452F5">
      <w:pPr>
        <w:rPr>
          <w:b/>
          <w:bCs/>
        </w:rPr>
      </w:pPr>
    </w:p>
    <w:p w14:paraId="1681082D" w14:textId="77777777" w:rsidR="00AF540D" w:rsidRDefault="00AF540D" w:rsidP="005452F5">
      <w:pPr>
        <w:jc w:val="both"/>
      </w:pPr>
    </w:p>
    <w:sectPr w:rsidR="00AF5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A22F" w14:textId="77777777" w:rsidR="004E3A83" w:rsidRDefault="004E3A83" w:rsidP="00267D71">
      <w:pPr>
        <w:spacing w:after="0" w:line="240" w:lineRule="auto"/>
      </w:pPr>
      <w:r>
        <w:separator/>
      </w:r>
    </w:p>
  </w:endnote>
  <w:endnote w:type="continuationSeparator" w:id="0">
    <w:p w14:paraId="59581202" w14:textId="77777777" w:rsidR="004E3A83" w:rsidRDefault="004E3A83" w:rsidP="0026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4A4B" w14:textId="77777777" w:rsidR="00267D71" w:rsidRDefault="00267D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939082"/>
      <w:docPartObj>
        <w:docPartGallery w:val="Page Numbers (Bottom of Page)"/>
        <w:docPartUnique/>
      </w:docPartObj>
    </w:sdtPr>
    <w:sdtContent>
      <w:p w14:paraId="082C23EC" w14:textId="3B225634" w:rsidR="00267D71" w:rsidRDefault="00267D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AA652" w14:textId="77777777" w:rsidR="00267D71" w:rsidRDefault="00267D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FC98" w14:textId="77777777" w:rsidR="00267D71" w:rsidRDefault="00267D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BD27" w14:textId="77777777" w:rsidR="004E3A83" w:rsidRDefault="004E3A83" w:rsidP="00267D71">
      <w:pPr>
        <w:spacing w:after="0" w:line="240" w:lineRule="auto"/>
      </w:pPr>
      <w:r>
        <w:separator/>
      </w:r>
    </w:p>
  </w:footnote>
  <w:footnote w:type="continuationSeparator" w:id="0">
    <w:p w14:paraId="25B43C0E" w14:textId="77777777" w:rsidR="004E3A83" w:rsidRDefault="004E3A83" w:rsidP="0026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843B" w14:textId="77777777" w:rsidR="00267D71" w:rsidRDefault="00267D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4680" w14:textId="77777777" w:rsidR="00267D71" w:rsidRDefault="00267D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AA35" w14:textId="77777777" w:rsidR="00267D71" w:rsidRDefault="00267D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2A61783F"/>
    <w:multiLevelType w:val="hybridMultilevel"/>
    <w:tmpl w:val="9F1ED114"/>
    <w:lvl w:ilvl="0" w:tplc="95BE32C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47818208">
    <w:abstractNumId w:val="6"/>
  </w:num>
  <w:num w:numId="2" w16cid:durableId="325135661">
    <w:abstractNumId w:val="0"/>
  </w:num>
  <w:num w:numId="3" w16cid:durableId="1030181979">
    <w:abstractNumId w:val="1"/>
  </w:num>
  <w:num w:numId="4" w16cid:durableId="1667247184">
    <w:abstractNumId w:val="2"/>
  </w:num>
  <w:num w:numId="5" w16cid:durableId="91511963">
    <w:abstractNumId w:val="3"/>
  </w:num>
  <w:num w:numId="6" w16cid:durableId="1856461347">
    <w:abstractNumId w:val="4"/>
  </w:num>
  <w:num w:numId="7" w16cid:durableId="1135369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AC"/>
    <w:rsid w:val="0000751A"/>
    <w:rsid w:val="000124AC"/>
    <w:rsid w:val="000145C9"/>
    <w:rsid w:val="00267D71"/>
    <w:rsid w:val="00461175"/>
    <w:rsid w:val="004E3A83"/>
    <w:rsid w:val="005452F5"/>
    <w:rsid w:val="00551525"/>
    <w:rsid w:val="005A1B67"/>
    <w:rsid w:val="008876AB"/>
    <w:rsid w:val="00AB005C"/>
    <w:rsid w:val="00AD2541"/>
    <w:rsid w:val="00AD7F24"/>
    <w:rsid w:val="00AF540D"/>
    <w:rsid w:val="00BF3F12"/>
    <w:rsid w:val="00C04A20"/>
    <w:rsid w:val="00C40D0C"/>
    <w:rsid w:val="00D253CE"/>
    <w:rsid w:val="00E2346E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23876"/>
  <w15:chartTrackingRefBased/>
  <w15:docId w15:val="{E81E6320-0F59-41EA-93F9-AC53508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24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24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24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24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24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24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24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24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24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24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24AC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qFormat/>
    <w:rsid w:val="005452F5"/>
    <w:rPr>
      <w:b/>
      <w:bCs/>
    </w:rPr>
  </w:style>
  <w:style w:type="paragraph" w:styleId="Corpsdetexte">
    <w:name w:val="Body Text"/>
    <w:basedOn w:val="Normal"/>
    <w:link w:val="CorpsdetexteCar"/>
    <w:unhideWhenUsed/>
    <w:rsid w:val="00FF3A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kern w:val="0"/>
      <w:sz w:val="22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FF3A2C"/>
    <w:rPr>
      <w:rFonts w:ascii="Arial" w:eastAsia="Times New Roman" w:hAnsi="Arial" w:cs="Arial"/>
      <w:kern w:val="0"/>
      <w:sz w:val="22"/>
      <w:lang w:eastAsia="fr-FR"/>
      <w14:ligatures w14:val="none"/>
    </w:rPr>
  </w:style>
  <w:style w:type="paragraph" w:customStyle="1" w:styleId="VuConsidrant">
    <w:name w:val="Vu.Considérant"/>
    <w:basedOn w:val="Normal"/>
    <w:rsid w:val="008876AB"/>
    <w:pPr>
      <w:widowControl w:val="0"/>
      <w:suppressAutoHyphens/>
      <w:spacing w:after="140" w:line="240" w:lineRule="auto"/>
      <w:jc w:val="both"/>
    </w:pPr>
    <w:rPr>
      <w:rFonts w:ascii="Arial" w:eastAsia="Lucida Sans Unicode" w:hAnsi="Arial" w:cs="Arial"/>
      <w:color w:val="000000"/>
      <w:kern w:val="0"/>
      <w:lang w:bidi="en-US"/>
      <w14:ligatures w14:val="none"/>
    </w:rPr>
  </w:style>
  <w:style w:type="paragraph" w:customStyle="1" w:styleId="Ontvotladelib">
    <w:name w:val="Ont voté la delib"/>
    <w:basedOn w:val="VuConsidrant"/>
    <w:rsid w:val="008876AB"/>
  </w:style>
  <w:style w:type="paragraph" w:customStyle="1" w:styleId="LeMairerappellepropose">
    <w:name w:val="Le Maire rappelle/propose"/>
    <w:basedOn w:val="Normal"/>
    <w:rsid w:val="008876AB"/>
    <w:pPr>
      <w:widowControl w:val="0"/>
      <w:suppressAutoHyphens/>
      <w:spacing w:before="240" w:after="240" w:line="240" w:lineRule="auto"/>
      <w:jc w:val="both"/>
    </w:pPr>
    <w:rPr>
      <w:rFonts w:ascii="Arial" w:eastAsia="Lucida Sans Unicode" w:hAnsi="Arial" w:cs="Arial"/>
      <w:b/>
      <w:bCs/>
      <w:color w:val="000000"/>
      <w:kern w:val="0"/>
      <w:lang w:bidi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6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7D71"/>
  </w:style>
  <w:style w:type="paragraph" w:styleId="Pieddepage">
    <w:name w:val="footer"/>
    <w:basedOn w:val="Normal"/>
    <w:link w:val="PieddepageCar"/>
    <w:uiPriority w:val="99"/>
    <w:unhideWhenUsed/>
    <w:rsid w:val="00267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746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mairietremel1@outlook.fr</dc:creator>
  <cp:keywords/>
  <dc:description/>
  <cp:lastModifiedBy>mairietremel1@outlook.fr</cp:lastModifiedBy>
  <cp:revision>14</cp:revision>
  <dcterms:created xsi:type="dcterms:W3CDTF">2026-02-25T07:47:00Z</dcterms:created>
  <dcterms:modified xsi:type="dcterms:W3CDTF">2026-03-06T16:58:00Z</dcterms:modified>
</cp:coreProperties>
</file>